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3B3C02E0" w:rsidR="00A817A5" w:rsidRDefault="009E2816" w:rsidP="00A817A5">
      <w:pPr>
        <w:pStyle w:val="Heading2"/>
      </w:pPr>
      <w:r>
        <w:t>Reusable Write and Wipe Pockets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146B83C1" w14:textId="77777777" w:rsidR="002A6432" w:rsidRDefault="002A6432" w:rsidP="002A6432">
            <w:pPr>
              <w:rPr>
                <w:rFonts w:ascii="Avenir" w:eastAsia="Avenir" w:hAnsi="Avenir" w:cs="Avenir"/>
                <w:color w:val="020202"/>
                <w:szCs w:val="24"/>
              </w:rPr>
            </w:pPr>
            <w:r w:rsidRPr="69279382">
              <w:rPr>
                <w:rFonts w:ascii="Avenir" w:eastAsia="Avenir" w:hAnsi="Avenir" w:cs="Avenir"/>
                <w:color w:val="020202"/>
                <w:szCs w:val="24"/>
              </w:rPr>
              <w:t>The Double-sided vinyl pocket measures 10 1/4" x 13 1/8" and holds paper up to 9" x 12". Paper and worksheets can be slid into the see-inside pockets. Children can write directly on the surface with a dry-erase marker—then wipe it clean for the next activity.</w:t>
            </w:r>
          </w:p>
          <w:p w14:paraId="34DC4787" w14:textId="7BAA4BCA" w:rsidR="00A817A5" w:rsidRDefault="002A6432" w:rsidP="002A6432">
            <w:hyperlink r:id="rId10" w:history="1">
              <w:r>
                <w:rPr>
                  <w:rStyle w:val="Hyperlink"/>
                  <w:rFonts w:ascii="Avenir" w:hAnsi="Avenir"/>
                  <w:color w:val="1155CC"/>
                  <w:shd w:val="clear" w:color="auto" w:fill="FFFFFF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1B0E116" w14:textId="1BE57D69" w:rsidR="00125BFD" w:rsidRPr="00D30202" w:rsidRDefault="00434C63" w:rsidP="00D30202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D0191CC" wp14:editId="7809217E">
                  <wp:extent cx="2038350" cy="2282647"/>
                  <wp:effectExtent l="0" t="0" r="0" b="3810"/>
                  <wp:docPr id="159236973" name="Picture 159236973" descr="Reusable Write and Wipe Pocket -standard paper-size clear vinyl pocket with a math facts addition practice worksheet inserted in the pocket and a person marking on the pocket with a 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721" cy="229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4956ED86" w14:textId="73EEE8E9" w:rsidR="006C3BDF" w:rsidRDefault="00125BFD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 xml:space="preserve">Those who </w:t>
      </w:r>
      <w:r w:rsidR="009B454B">
        <w:rPr>
          <w:rFonts w:cs="Open Sans"/>
        </w:rPr>
        <w:t>demonstrate motor challenges</w:t>
      </w:r>
      <w:r w:rsidR="00915514">
        <w:rPr>
          <w:rFonts w:cs="Open Sans"/>
        </w:rPr>
        <w:t xml:space="preserve"> around needing reduced resistance</w:t>
      </w:r>
      <w:r w:rsidR="00654435">
        <w:rPr>
          <w:rFonts w:cs="Open Sans"/>
        </w:rPr>
        <w:t xml:space="preserve"> </w:t>
      </w:r>
      <w:r w:rsidR="005F0133">
        <w:rPr>
          <w:rFonts w:cs="Open Sans"/>
        </w:rPr>
        <w:t xml:space="preserve">or a smooth surface, </w:t>
      </w:r>
      <w:r w:rsidR="00654435">
        <w:rPr>
          <w:rFonts w:cs="Open Sans"/>
        </w:rPr>
        <w:t>or fatigue with writing/drawing activities.</w:t>
      </w:r>
      <w:r w:rsidR="000C1381">
        <w:rPr>
          <w:rFonts w:cs="Open Sans"/>
        </w:rPr>
        <w:t xml:space="preserve"> </w:t>
      </w: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1A3AB60A" w14:textId="712E86CF" w:rsidR="00F47A61" w:rsidRPr="00E36279" w:rsidRDefault="00DD532B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An opportunity to </w:t>
      </w:r>
      <w:r w:rsidR="005F0133">
        <w:t>make marks with minimal pressure, easily</w:t>
      </w:r>
      <w:r w:rsidR="00F123F6">
        <w:t xml:space="preserve"> erase or alter writing/drawing, and multiple </w:t>
      </w:r>
      <w:r w:rsidR="00A875E0">
        <w:t>chances</w:t>
      </w:r>
      <w:r w:rsidR="00F123F6">
        <w:t xml:space="preserve"> </w:t>
      </w:r>
      <w:r w:rsidR="00A875E0">
        <w:t>to complete the same activity to gain competency.</w:t>
      </w:r>
      <w:r w:rsidR="00F123F6">
        <w:t xml:space="preserve"> 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4A374EBD" w14:textId="20F6BA26" w:rsidR="0078211F" w:rsidRDefault="0078211F" w:rsidP="0078211F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Use</w:t>
            </w:r>
            <w:r w:rsidRPr="4E34DEC4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in any environment.</w:t>
            </w:r>
          </w:p>
          <w:p w14:paraId="26628FD6" w14:textId="3CE3368F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881DCF">
              <w:rPr>
                <w:b/>
                <w:bCs/>
                <w:szCs w:val="24"/>
              </w:rPr>
              <w:t xml:space="preserve"> &amp; Alternate Positioning</w:t>
            </w:r>
          </w:p>
          <w:p w14:paraId="64C843EA" w14:textId="79ECF3FD" w:rsidR="00881DCF" w:rsidRPr="00881DCF" w:rsidRDefault="00881DCF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any position; seated, standing, on the floor, with a slanted surfac</w:t>
            </w:r>
            <w:r w:rsidR="00BF5BCA">
              <w:rPr>
                <w:rFonts w:ascii="Avenir" w:hAnsi="Avenir"/>
                <w:color w:val="000000"/>
                <w:shd w:val="clear" w:color="auto" w:fill="FFFFFF"/>
              </w:rPr>
              <w:t xml:space="preserve">e, </w:t>
            </w:r>
            <w:r w:rsidR="006F3FBE">
              <w:rPr>
                <w:rFonts w:ascii="Avenir" w:hAnsi="Avenir"/>
                <w:color w:val="000000"/>
                <w:shd w:val="clear" w:color="auto" w:fill="FFFFFF"/>
              </w:rPr>
              <w:t>on an easel/wall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3AE4A77A" w14:textId="5333C059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881DCF">
              <w:rPr>
                <w:b/>
                <w:bCs/>
                <w:szCs w:val="24"/>
              </w:rPr>
              <w:t xml:space="preserve"> </w:t>
            </w:r>
            <w:r w:rsidR="00881DCF" w:rsidRPr="00881DCF">
              <w:rPr>
                <w:b/>
                <w:bCs/>
                <w:szCs w:val="24"/>
              </w:rPr>
              <w:sym w:font="Wingdings" w:char="F0E0"/>
            </w:r>
            <w:r w:rsidR="00881DCF">
              <w:rPr>
                <w:b/>
                <w:bCs/>
                <w:szCs w:val="24"/>
              </w:rPr>
              <w:t xml:space="preserve"> Extended Play/Use </w:t>
            </w:r>
          </w:p>
          <w:p w14:paraId="72FB5F23" w14:textId="300D9647" w:rsidR="00371A37" w:rsidRPr="00BD78B5" w:rsidRDefault="00A05C17" w:rsidP="00371A37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 xml:space="preserve">Creative drawing or prewriting activities like tracing, copying, </w:t>
            </w:r>
            <w:r w:rsidR="005C725F">
              <w:rPr>
                <w:rFonts w:ascii="Avenir" w:hAnsi="Avenir"/>
                <w:color w:val="000000"/>
              </w:rPr>
              <w:t>and coloring.</w:t>
            </w:r>
            <w:r w:rsidR="00881DCF">
              <w:rPr>
                <w:rFonts w:ascii="Avenir" w:hAnsi="Avenir"/>
                <w:color w:val="000000"/>
              </w:rPr>
              <w:t xml:space="preserve"> </w:t>
            </w:r>
            <w:r w:rsidR="00881DCF" w:rsidRPr="00881DCF">
              <w:rPr>
                <w:rFonts w:ascii="Avenir" w:hAnsi="Avenir"/>
                <w:color w:val="000000"/>
              </w:rPr>
              <w:sym w:font="Wingdings" w:char="F0E0"/>
            </w:r>
            <w:r w:rsidR="00881DCF">
              <w:rPr>
                <w:rFonts w:ascii="Avenir" w:hAnsi="Avenir"/>
                <w:color w:val="000000"/>
              </w:rPr>
              <w:t xml:space="preserve"> </w:t>
            </w:r>
            <w:r w:rsidR="00C416C5">
              <w:rPr>
                <w:rFonts w:ascii="Avenir" w:hAnsi="Avenir"/>
                <w:color w:val="000000"/>
              </w:rPr>
              <w:t>Turn-taking with games like tic-tac-toe.</w:t>
            </w:r>
          </w:p>
          <w:p w14:paraId="70F9CC42" w14:textId="56966C47" w:rsidR="00371A37" w:rsidRPr="00000274" w:rsidRDefault="00371A37" w:rsidP="00371A37">
            <w:pPr>
              <w:rPr>
                <w:rFonts w:ascii="Avenir" w:hAnsi="Avenir"/>
                <w:color w:val="000000"/>
              </w:rPr>
            </w:pPr>
          </w:p>
        </w:tc>
        <w:tc>
          <w:tcPr>
            <w:tcW w:w="4860" w:type="dxa"/>
          </w:tcPr>
          <w:p w14:paraId="6E508388" w14:textId="77777777" w:rsidR="00F31457" w:rsidRDefault="00F31457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Stabilize It</w:t>
            </w:r>
          </w:p>
          <w:p w14:paraId="4DD2F51B" w14:textId="1F04C3B7" w:rsidR="00F31457" w:rsidRPr="00F31457" w:rsidRDefault="008A5FB8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  <w:shd w:val="clear" w:color="auto" w:fill="FFFFFF"/>
              </w:rPr>
              <w:t>Use Dycem/shelf liner, t</w:t>
            </w:r>
            <w:r w:rsidR="005B510F">
              <w:rPr>
                <w:rFonts w:ascii="Avenir" w:hAnsi="Avenir"/>
                <w:color w:val="000000" w:themeColor="text1"/>
                <w:shd w:val="clear" w:color="auto" w:fill="FFFFFF"/>
              </w:rPr>
              <w:t>ape to table or clip to slant board to secure.</w:t>
            </w:r>
          </w:p>
          <w:p w14:paraId="3D10A038" w14:textId="77777777" w:rsidR="008A5FB8" w:rsidRDefault="008A5FB8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Contain It</w:t>
            </w:r>
          </w:p>
          <w:p w14:paraId="434DE053" w14:textId="6FD33ABA" w:rsidR="008A5FB8" w:rsidRPr="008A5FB8" w:rsidRDefault="008A5FB8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  <w:shd w:val="clear" w:color="auto" w:fill="FFFFFF"/>
              </w:rPr>
              <w:t>Place in a tray to contain the pocket.</w:t>
            </w:r>
          </w:p>
          <w:p w14:paraId="25884DFF" w14:textId="2AF611AB" w:rsidR="00BC09BF" w:rsidRDefault="00BC09BF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Add Sensory Cues</w:t>
            </w:r>
          </w:p>
          <w:p w14:paraId="53CF8D04" w14:textId="1D0440CF" w:rsidR="00BC09BF" w:rsidRPr="00BC09BF" w:rsidRDefault="00BC09BF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Add </w:t>
            </w:r>
            <w:r w:rsidR="008A5FB8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Wikki Stix or removable tactile stickers </w:t>
            </w:r>
            <w:r w:rsidR="003166C4">
              <w:rPr>
                <w:rFonts w:ascii="Avenir" w:hAnsi="Avenir"/>
                <w:color w:val="000000" w:themeColor="text1"/>
                <w:shd w:val="clear" w:color="auto" w:fill="FFFFFF"/>
              </w:rPr>
              <w:t>for tactile cues.</w:t>
            </w:r>
          </w:p>
          <w:p w14:paraId="4EFED2ED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Communication Supports </w:t>
            </w:r>
          </w:p>
          <w:p w14:paraId="250D22D1" w14:textId="7C4DA4C1" w:rsidR="00F56CCB" w:rsidRPr="00E02186" w:rsidRDefault="006024D4" w:rsidP="00BE69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  <w:shd w:val="clear" w:color="auto" w:fill="FFFFFF"/>
              </w:rPr>
              <w:t>Provide a communication board with vocabulary appropriate for the activity.</w:t>
            </w:r>
          </w:p>
          <w:p w14:paraId="1757A4A1" w14:textId="290187E3" w:rsidR="00D43FAB" w:rsidRPr="00E02186" w:rsidRDefault="00A065B3" w:rsidP="00D43FAB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Alternative</w:t>
            </w:r>
            <w:r w:rsidR="005E40E2">
              <w:rPr>
                <w:b/>
                <w:bCs/>
                <w:color w:val="000000" w:themeColor="text1"/>
                <w:szCs w:val="24"/>
              </w:rPr>
              <w:t xml:space="preserve"> Uses</w:t>
            </w:r>
          </w:p>
          <w:p w14:paraId="283D5F66" w14:textId="65C222BB" w:rsidR="005E40E2" w:rsidRPr="00D30202" w:rsidRDefault="005E40E2" w:rsidP="00D30202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Seal the pocket with paint inside for mess free fingerpainting</w:t>
            </w:r>
            <w:r w:rsidR="007938B6">
              <w:rPr>
                <w:rFonts w:ascii="Avenir" w:hAnsi="Avenir"/>
                <w:color w:val="000000" w:themeColor="text1"/>
              </w:rPr>
              <w:t>.</w:t>
            </w:r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A62E35" w:rsidRPr="0096519F" w14:paraId="0DFA1380" w14:textId="77777777" w:rsidTr="005C2B3F">
        <w:trPr>
          <w:trHeight w:val="2682"/>
          <w:jc w:val="center"/>
        </w:trPr>
        <w:tc>
          <w:tcPr>
            <w:tcW w:w="3312" w:type="dxa"/>
          </w:tcPr>
          <w:p w14:paraId="7EA9B650" w14:textId="77777777" w:rsidR="00A62E35" w:rsidRDefault="00A62E35" w:rsidP="005C2B3F">
            <w:pPr>
              <w:jc w:val="center"/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Trace</w:t>
            </w:r>
            <w:r>
              <w:rPr>
                <w:noProof/>
              </w:rPr>
              <w:drawing>
                <wp:inline distT="0" distB="0" distL="0" distR="0" wp14:anchorId="7F4078F2" wp14:editId="676CE0D6">
                  <wp:extent cx="1965960" cy="1474470"/>
                  <wp:effectExtent l="0" t="0" r="2540" b="0"/>
                  <wp:docPr id="274912838" name="Picture 8" descr="A hand holding a red pencil tracing the outer line of an app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12838" name="Picture 8" descr="A hand holding a red pencil tracing the outer line of an apple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C41D5D" w14:textId="77777777" w:rsidR="00A62E35" w:rsidRPr="0096519F" w:rsidRDefault="00A62E35" w:rsidP="005C2B3F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3312" w:type="dxa"/>
          </w:tcPr>
          <w:p w14:paraId="31A74DD4" w14:textId="77777777" w:rsidR="00A62E35" w:rsidRPr="0096519F" w:rsidRDefault="00A62E35" w:rsidP="005C2B3F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Color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6FA5FF6" wp14:editId="5E40419F">
                  <wp:extent cx="1965960" cy="1474470"/>
                  <wp:effectExtent l="0" t="0" r="2540" b="0"/>
                  <wp:docPr id="306515755" name="Picture 2" descr="A grid with different colors in each squa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15755" name="Picture 2" descr="A grid with different colors in each square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A619E12" w14:textId="77777777" w:rsidR="00A62E35" w:rsidRPr="0096519F" w:rsidRDefault="00A62E35" w:rsidP="005C2B3F">
            <w:pPr>
              <w:jc w:val="center"/>
            </w:pPr>
            <w:r w:rsidRPr="69279382">
              <w:rPr>
                <w:rFonts w:cs="Open Sans"/>
                <w:b/>
                <w:bCs/>
                <w:noProof/>
                <w:sz w:val="32"/>
                <w:szCs w:val="32"/>
              </w:rPr>
              <w:t>Write</w:t>
            </w:r>
            <w:r>
              <w:rPr>
                <w:noProof/>
              </w:rPr>
              <w:drawing>
                <wp:inline distT="0" distB="0" distL="0" distR="0" wp14:anchorId="6222681F" wp14:editId="5D0154A9">
                  <wp:extent cx="1965960" cy="1474470"/>
                  <wp:effectExtent l="0" t="0" r="2540" b="0"/>
                  <wp:docPr id="1582961493" name="Picture 9" descr="A hand holding a yellow pencil writing lines on a white sheet of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961493" name="Picture 9" descr="A hand holding a yellow pencil writing lines on a white sheet of paper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E35" w:rsidRPr="0096519F" w14:paraId="23886044" w14:textId="77777777" w:rsidTr="005C2B3F">
        <w:trPr>
          <w:trHeight w:val="2682"/>
          <w:jc w:val="center"/>
        </w:trPr>
        <w:tc>
          <w:tcPr>
            <w:tcW w:w="3312" w:type="dxa"/>
          </w:tcPr>
          <w:p w14:paraId="4DCACBD3" w14:textId="77777777" w:rsidR="00A62E35" w:rsidRPr="0096519F" w:rsidRDefault="00A62E35" w:rsidP="005C2B3F">
            <w:pPr>
              <w:jc w:val="center"/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Draw</w:t>
            </w:r>
            <w:r>
              <w:rPr>
                <w:noProof/>
              </w:rPr>
              <w:drawing>
                <wp:inline distT="0" distB="0" distL="0" distR="0" wp14:anchorId="1719CAB6" wp14:editId="5382707F">
                  <wp:extent cx="1965960" cy="1474470"/>
                  <wp:effectExtent l="0" t="0" r="2540" b="0"/>
                  <wp:docPr id="216731532" name="Picture 5" descr="A hand holding a yellow pencil drawing lines on a piece of pap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31532" name="Picture 5" descr="A hand holding a yellow pencil drawing lines on a piece of paper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7FA2B93" w14:textId="77777777" w:rsidR="00A62E35" w:rsidRPr="0096519F" w:rsidRDefault="00A62E35" w:rsidP="005C2B3F">
            <w:pPr>
              <w:jc w:val="center"/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Wipe</w:t>
            </w:r>
            <w:r>
              <w:rPr>
                <w:noProof/>
              </w:rPr>
              <w:drawing>
                <wp:inline distT="0" distB="0" distL="0" distR="0" wp14:anchorId="4E22A3CF" wp14:editId="21F316B7">
                  <wp:extent cx="1965960" cy="1474470"/>
                  <wp:effectExtent l="0" t="0" r="2540" b="0"/>
                  <wp:docPr id="524958021" name="Picture 10" descr="A hand on yellow cloth wiping off gray sur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58021" name="Picture 10" descr="A hand on yellow cloth wiping off gray surface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366A302" w14:textId="77777777" w:rsidR="00A62E35" w:rsidRPr="0096519F" w:rsidRDefault="00A62E35" w:rsidP="005C2B3F">
            <w:pPr>
              <w:jc w:val="center"/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Erase</w:t>
            </w:r>
            <w:r>
              <w:rPr>
                <w:noProof/>
              </w:rPr>
              <w:drawing>
                <wp:inline distT="0" distB="0" distL="0" distR="0" wp14:anchorId="05BB2E25" wp14:editId="78E5F5BD">
                  <wp:extent cx="1965960" cy="1474470"/>
                  <wp:effectExtent l="0" t="0" r="2540" b="0"/>
                  <wp:docPr id="1328896371" name="Picture 7" descr="A hand holding a red pencil with eraser side on the paper erasing letters on pap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896371" name="Picture 7" descr="A hand holding a red pencil with eraser side on the paper erasing letters on paper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E35" w:rsidRPr="0096519F" w14:paraId="018C525D" w14:textId="77777777" w:rsidTr="005C2B3F">
        <w:trPr>
          <w:trHeight w:val="2682"/>
          <w:jc w:val="center"/>
        </w:trPr>
        <w:tc>
          <w:tcPr>
            <w:tcW w:w="3312" w:type="dxa"/>
          </w:tcPr>
          <w:p w14:paraId="41E1D0B1" w14:textId="77777777" w:rsidR="00A62E35" w:rsidRPr="0096519F" w:rsidRDefault="00A62E35" w:rsidP="005C2B3F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Go</w:t>
            </w:r>
            <w:r>
              <w:rPr>
                <w:noProof/>
              </w:rPr>
              <w:drawing>
                <wp:inline distT="0" distB="0" distL="0" distR="0" wp14:anchorId="29114B9F" wp14:editId="178EE543">
                  <wp:extent cx="1965960" cy="1474470"/>
                  <wp:effectExtent l="0" t="0" r="2540" b="0"/>
                  <wp:docPr id="1681175331" name="Picture 4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175331" name="Picture 4" descr="Green light lit up on a traffic signa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F0FF4CA" w14:textId="77777777" w:rsidR="00A62E35" w:rsidRPr="0096519F" w:rsidRDefault="00A62E35" w:rsidP="005C2B3F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Stop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FFDEE4A" wp14:editId="2BAB7A81">
                  <wp:extent cx="1965960" cy="1474470"/>
                  <wp:effectExtent l="0" t="0" r="2540" b="0"/>
                  <wp:docPr id="719116106" name="Picture 3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16106" name="Picture 3" descr="Red light lit up on a traffic signa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22E9EBB" w14:textId="77777777" w:rsidR="00A62E35" w:rsidRPr="0096519F" w:rsidRDefault="00A62E35" w:rsidP="005C2B3F">
            <w:pPr>
              <w:jc w:val="center"/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Done</w:t>
            </w:r>
            <w:r>
              <w:rPr>
                <w:noProof/>
              </w:rPr>
              <w:drawing>
                <wp:inline distT="0" distB="0" distL="0" distR="0" wp14:anchorId="6C8776BC" wp14:editId="23E2FC44">
                  <wp:extent cx="1965960" cy="1474470"/>
                  <wp:effectExtent l="0" t="0" r="2540" b="0"/>
                  <wp:docPr id="921282785" name="Picture 6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282785" name="Picture 6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PCS is a trademark of Tobii Dynavox,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FD8E" w14:textId="77777777" w:rsidR="00B548CC" w:rsidRDefault="00B548CC" w:rsidP="00BF408A">
      <w:pPr>
        <w:spacing w:after="0" w:line="240" w:lineRule="auto"/>
      </w:pPr>
      <w:r>
        <w:separator/>
      </w:r>
    </w:p>
  </w:endnote>
  <w:endnote w:type="continuationSeparator" w:id="0">
    <w:p w14:paraId="6367298B" w14:textId="77777777" w:rsidR="00B548CC" w:rsidRDefault="00B548CC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CC81" w14:textId="77777777" w:rsidR="00B548CC" w:rsidRDefault="00B548CC" w:rsidP="00BF408A">
      <w:pPr>
        <w:spacing w:after="0" w:line="240" w:lineRule="auto"/>
      </w:pPr>
      <w:r>
        <w:separator/>
      </w:r>
    </w:p>
  </w:footnote>
  <w:footnote w:type="continuationSeparator" w:id="0">
    <w:p w14:paraId="6C21AE48" w14:textId="77777777" w:rsidR="00B548CC" w:rsidRDefault="00B548CC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6"/>
  </w:num>
  <w:num w:numId="6" w16cid:durableId="1788891079">
    <w:abstractNumId w:val="5"/>
  </w:num>
  <w:num w:numId="7" w16cid:durableId="340355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11D4C"/>
    <w:rsid w:val="00045F1C"/>
    <w:rsid w:val="0005085D"/>
    <w:rsid w:val="00053080"/>
    <w:rsid w:val="00055BBE"/>
    <w:rsid w:val="000563ED"/>
    <w:rsid w:val="00057250"/>
    <w:rsid w:val="00064342"/>
    <w:rsid w:val="00071AD9"/>
    <w:rsid w:val="000810D3"/>
    <w:rsid w:val="00082E2D"/>
    <w:rsid w:val="000940B6"/>
    <w:rsid w:val="000C1381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47FC"/>
    <w:rsid w:val="00156107"/>
    <w:rsid w:val="001816B3"/>
    <w:rsid w:val="0019112B"/>
    <w:rsid w:val="001A57EC"/>
    <w:rsid w:val="001A7704"/>
    <w:rsid w:val="001D6283"/>
    <w:rsid w:val="001D7BCC"/>
    <w:rsid w:val="001E238C"/>
    <w:rsid w:val="00203647"/>
    <w:rsid w:val="00210F13"/>
    <w:rsid w:val="0021767E"/>
    <w:rsid w:val="00224322"/>
    <w:rsid w:val="00225FEE"/>
    <w:rsid w:val="002463B5"/>
    <w:rsid w:val="00247E32"/>
    <w:rsid w:val="002574C5"/>
    <w:rsid w:val="00264683"/>
    <w:rsid w:val="00264D80"/>
    <w:rsid w:val="0026704E"/>
    <w:rsid w:val="00281D6C"/>
    <w:rsid w:val="0028636A"/>
    <w:rsid w:val="002924F9"/>
    <w:rsid w:val="00296616"/>
    <w:rsid w:val="002A1B69"/>
    <w:rsid w:val="002A2E27"/>
    <w:rsid w:val="002A6432"/>
    <w:rsid w:val="002B2CA2"/>
    <w:rsid w:val="002C2776"/>
    <w:rsid w:val="002C2F99"/>
    <w:rsid w:val="002D65E6"/>
    <w:rsid w:val="002E70B0"/>
    <w:rsid w:val="002F3659"/>
    <w:rsid w:val="00310AD3"/>
    <w:rsid w:val="003166C4"/>
    <w:rsid w:val="00317082"/>
    <w:rsid w:val="00335343"/>
    <w:rsid w:val="00352831"/>
    <w:rsid w:val="00354F99"/>
    <w:rsid w:val="00361E4B"/>
    <w:rsid w:val="00371A37"/>
    <w:rsid w:val="00372C1A"/>
    <w:rsid w:val="0038052B"/>
    <w:rsid w:val="00380C9E"/>
    <w:rsid w:val="00390CB8"/>
    <w:rsid w:val="00392108"/>
    <w:rsid w:val="003952EE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271EB"/>
    <w:rsid w:val="0043096A"/>
    <w:rsid w:val="00434C63"/>
    <w:rsid w:val="004503E8"/>
    <w:rsid w:val="004603EB"/>
    <w:rsid w:val="00487351"/>
    <w:rsid w:val="00487C25"/>
    <w:rsid w:val="004A2470"/>
    <w:rsid w:val="004A3AF1"/>
    <w:rsid w:val="004A5BCB"/>
    <w:rsid w:val="004C5FE6"/>
    <w:rsid w:val="004D2168"/>
    <w:rsid w:val="004E1FF7"/>
    <w:rsid w:val="00505DC3"/>
    <w:rsid w:val="00512848"/>
    <w:rsid w:val="005210DD"/>
    <w:rsid w:val="00524879"/>
    <w:rsid w:val="0056440B"/>
    <w:rsid w:val="005673D1"/>
    <w:rsid w:val="0057752D"/>
    <w:rsid w:val="005823DB"/>
    <w:rsid w:val="005972BC"/>
    <w:rsid w:val="005A36B0"/>
    <w:rsid w:val="005B4493"/>
    <w:rsid w:val="005B510F"/>
    <w:rsid w:val="005C6733"/>
    <w:rsid w:val="005C712D"/>
    <w:rsid w:val="005C725F"/>
    <w:rsid w:val="005D0FE7"/>
    <w:rsid w:val="005E0098"/>
    <w:rsid w:val="005E40E2"/>
    <w:rsid w:val="005E689E"/>
    <w:rsid w:val="005E6D03"/>
    <w:rsid w:val="005F0133"/>
    <w:rsid w:val="005F5A5E"/>
    <w:rsid w:val="006024D4"/>
    <w:rsid w:val="00604E31"/>
    <w:rsid w:val="00620624"/>
    <w:rsid w:val="0062759B"/>
    <w:rsid w:val="006358C6"/>
    <w:rsid w:val="00644734"/>
    <w:rsid w:val="00644C39"/>
    <w:rsid w:val="00654435"/>
    <w:rsid w:val="006548E1"/>
    <w:rsid w:val="006710AE"/>
    <w:rsid w:val="00677A5E"/>
    <w:rsid w:val="00686D4C"/>
    <w:rsid w:val="006A6866"/>
    <w:rsid w:val="006C3BDF"/>
    <w:rsid w:val="006D29B4"/>
    <w:rsid w:val="006D532B"/>
    <w:rsid w:val="006D6BBD"/>
    <w:rsid w:val="006E3367"/>
    <w:rsid w:val="006F3FBE"/>
    <w:rsid w:val="00700A31"/>
    <w:rsid w:val="00702AD5"/>
    <w:rsid w:val="00714B72"/>
    <w:rsid w:val="007307D0"/>
    <w:rsid w:val="0075053C"/>
    <w:rsid w:val="00756F32"/>
    <w:rsid w:val="007570AC"/>
    <w:rsid w:val="00760F0A"/>
    <w:rsid w:val="00764504"/>
    <w:rsid w:val="007742A4"/>
    <w:rsid w:val="0078211F"/>
    <w:rsid w:val="00782361"/>
    <w:rsid w:val="00793096"/>
    <w:rsid w:val="007938B6"/>
    <w:rsid w:val="00794876"/>
    <w:rsid w:val="00794BE2"/>
    <w:rsid w:val="0079585B"/>
    <w:rsid w:val="007A099B"/>
    <w:rsid w:val="007C4EB0"/>
    <w:rsid w:val="007C738E"/>
    <w:rsid w:val="007E1CAE"/>
    <w:rsid w:val="007E2FCC"/>
    <w:rsid w:val="007E5078"/>
    <w:rsid w:val="008109A0"/>
    <w:rsid w:val="008219CC"/>
    <w:rsid w:val="0082332A"/>
    <w:rsid w:val="008306F6"/>
    <w:rsid w:val="0084398E"/>
    <w:rsid w:val="00855F74"/>
    <w:rsid w:val="0086416A"/>
    <w:rsid w:val="00881DCF"/>
    <w:rsid w:val="0088582F"/>
    <w:rsid w:val="0089098F"/>
    <w:rsid w:val="0089475E"/>
    <w:rsid w:val="00894F79"/>
    <w:rsid w:val="008A5FB8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15514"/>
    <w:rsid w:val="009174F8"/>
    <w:rsid w:val="00922613"/>
    <w:rsid w:val="00926448"/>
    <w:rsid w:val="0092799B"/>
    <w:rsid w:val="00927E6A"/>
    <w:rsid w:val="00944D92"/>
    <w:rsid w:val="0095213A"/>
    <w:rsid w:val="0095615B"/>
    <w:rsid w:val="0096519F"/>
    <w:rsid w:val="0096586F"/>
    <w:rsid w:val="009658A2"/>
    <w:rsid w:val="00975676"/>
    <w:rsid w:val="00975D95"/>
    <w:rsid w:val="00977630"/>
    <w:rsid w:val="00997B20"/>
    <w:rsid w:val="00997E32"/>
    <w:rsid w:val="009A302F"/>
    <w:rsid w:val="009B2F06"/>
    <w:rsid w:val="009B454B"/>
    <w:rsid w:val="009B72D0"/>
    <w:rsid w:val="009C0B1A"/>
    <w:rsid w:val="009D06E3"/>
    <w:rsid w:val="009D6A0D"/>
    <w:rsid w:val="009E2816"/>
    <w:rsid w:val="009F6CF9"/>
    <w:rsid w:val="00A05C17"/>
    <w:rsid w:val="00A065B3"/>
    <w:rsid w:val="00A14BF9"/>
    <w:rsid w:val="00A35F93"/>
    <w:rsid w:val="00A40050"/>
    <w:rsid w:val="00A456D6"/>
    <w:rsid w:val="00A60DAA"/>
    <w:rsid w:val="00A62E35"/>
    <w:rsid w:val="00A63179"/>
    <w:rsid w:val="00A63C39"/>
    <w:rsid w:val="00A748D1"/>
    <w:rsid w:val="00A7754E"/>
    <w:rsid w:val="00A817A5"/>
    <w:rsid w:val="00A82EB5"/>
    <w:rsid w:val="00A875E0"/>
    <w:rsid w:val="00AA6C03"/>
    <w:rsid w:val="00AD1483"/>
    <w:rsid w:val="00AD2BF8"/>
    <w:rsid w:val="00AE3E25"/>
    <w:rsid w:val="00AE6293"/>
    <w:rsid w:val="00AF05D6"/>
    <w:rsid w:val="00B1463C"/>
    <w:rsid w:val="00B20617"/>
    <w:rsid w:val="00B25C67"/>
    <w:rsid w:val="00B36266"/>
    <w:rsid w:val="00B362E0"/>
    <w:rsid w:val="00B512C0"/>
    <w:rsid w:val="00B54594"/>
    <w:rsid w:val="00B548CC"/>
    <w:rsid w:val="00B5541B"/>
    <w:rsid w:val="00B61347"/>
    <w:rsid w:val="00B72F4A"/>
    <w:rsid w:val="00B74530"/>
    <w:rsid w:val="00B76711"/>
    <w:rsid w:val="00B823DB"/>
    <w:rsid w:val="00B8337A"/>
    <w:rsid w:val="00B8367C"/>
    <w:rsid w:val="00B836E3"/>
    <w:rsid w:val="00B855E4"/>
    <w:rsid w:val="00B8640D"/>
    <w:rsid w:val="00B90BCD"/>
    <w:rsid w:val="00B91BDD"/>
    <w:rsid w:val="00B91D19"/>
    <w:rsid w:val="00B92FA4"/>
    <w:rsid w:val="00BA0BEF"/>
    <w:rsid w:val="00BB2774"/>
    <w:rsid w:val="00BB75A0"/>
    <w:rsid w:val="00BC09BF"/>
    <w:rsid w:val="00BD3CDC"/>
    <w:rsid w:val="00BD78B5"/>
    <w:rsid w:val="00BD7E8C"/>
    <w:rsid w:val="00BE0B54"/>
    <w:rsid w:val="00BE6933"/>
    <w:rsid w:val="00BF408A"/>
    <w:rsid w:val="00BF5BCA"/>
    <w:rsid w:val="00C036AC"/>
    <w:rsid w:val="00C0572B"/>
    <w:rsid w:val="00C25947"/>
    <w:rsid w:val="00C27F3C"/>
    <w:rsid w:val="00C416C5"/>
    <w:rsid w:val="00C50505"/>
    <w:rsid w:val="00C52A77"/>
    <w:rsid w:val="00C80741"/>
    <w:rsid w:val="00C97B1D"/>
    <w:rsid w:val="00CA11C5"/>
    <w:rsid w:val="00CA75A5"/>
    <w:rsid w:val="00CB5531"/>
    <w:rsid w:val="00CC5624"/>
    <w:rsid w:val="00CE20D8"/>
    <w:rsid w:val="00CE4E4A"/>
    <w:rsid w:val="00D0097C"/>
    <w:rsid w:val="00D00C80"/>
    <w:rsid w:val="00D30202"/>
    <w:rsid w:val="00D42F5B"/>
    <w:rsid w:val="00D4336B"/>
    <w:rsid w:val="00D43FAB"/>
    <w:rsid w:val="00D526CB"/>
    <w:rsid w:val="00D56725"/>
    <w:rsid w:val="00D60E33"/>
    <w:rsid w:val="00D6771C"/>
    <w:rsid w:val="00D73D34"/>
    <w:rsid w:val="00D802E7"/>
    <w:rsid w:val="00D917A5"/>
    <w:rsid w:val="00D94D48"/>
    <w:rsid w:val="00DB58B6"/>
    <w:rsid w:val="00DD532B"/>
    <w:rsid w:val="00DE0462"/>
    <w:rsid w:val="00DE2B80"/>
    <w:rsid w:val="00DF1CEB"/>
    <w:rsid w:val="00DF31DB"/>
    <w:rsid w:val="00E02186"/>
    <w:rsid w:val="00E0298E"/>
    <w:rsid w:val="00E04AC2"/>
    <w:rsid w:val="00E242AD"/>
    <w:rsid w:val="00E24E32"/>
    <w:rsid w:val="00E44CDA"/>
    <w:rsid w:val="00E64B14"/>
    <w:rsid w:val="00E65589"/>
    <w:rsid w:val="00E76CFF"/>
    <w:rsid w:val="00E82A56"/>
    <w:rsid w:val="00EA15D8"/>
    <w:rsid w:val="00EA3E96"/>
    <w:rsid w:val="00EB5AAA"/>
    <w:rsid w:val="00EB5E40"/>
    <w:rsid w:val="00EB758F"/>
    <w:rsid w:val="00EC703C"/>
    <w:rsid w:val="00ED1ED0"/>
    <w:rsid w:val="00ED2089"/>
    <w:rsid w:val="00EF3825"/>
    <w:rsid w:val="00EF7B7C"/>
    <w:rsid w:val="00F03B92"/>
    <w:rsid w:val="00F123F6"/>
    <w:rsid w:val="00F22B90"/>
    <w:rsid w:val="00F257FB"/>
    <w:rsid w:val="00F26241"/>
    <w:rsid w:val="00F31457"/>
    <w:rsid w:val="00F44AD5"/>
    <w:rsid w:val="00F455E0"/>
    <w:rsid w:val="00F46657"/>
    <w:rsid w:val="00F47A61"/>
    <w:rsid w:val="00F52F8B"/>
    <w:rsid w:val="00F56CCB"/>
    <w:rsid w:val="00F61840"/>
    <w:rsid w:val="00F647DC"/>
    <w:rsid w:val="00F658EC"/>
    <w:rsid w:val="00F925D4"/>
    <w:rsid w:val="00F93D1A"/>
    <w:rsid w:val="00F93E3F"/>
    <w:rsid w:val="00F97B3A"/>
    <w:rsid w:val="00FA0F82"/>
    <w:rsid w:val="00FB1C48"/>
    <w:rsid w:val="00FB51D9"/>
    <w:rsid w:val="00FC24CB"/>
    <w:rsid w:val="00FC34F3"/>
    <w:rsid w:val="00FE661D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lakeshorelearning.com/products/teaching-resources/classroom-essentials/reusable-write-wipe-pocket/p/DE191/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E1F28-A3F2-43A1-9409-BEEB70332E08}"/>
</file>

<file path=customXml/itemProps3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9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22</cp:revision>
  <cp:lastPrinted>2024-11-05T17:30:00Z</cp:lastPrinted>
  <dcterms:created xsi:type="dcterms:W3CDTF">2025-02-12T17:24:00Z</dcterms:created>
  <dcterms:modified xsi:type="dcterms:W3CDTF">2025-02-12T17:39:00Z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